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697"/>
        <w:tblW w:w="14778" w:type="dxa"/>
        <w:tblLayout w:type="fixed"/>
        <w:tblLook w:val="04A0" w:firstRow="1" w:lastRow="0" w:firstColumn="1" w:lastColumn="0" w:noHBand="0" w:noVBand="1"/>
      </w:tblPr>
      <w:tblGrid>
        <w:gridCol w:w="1368"/>
        <w:gridCol w:w="4230"/>
        <w:gridCol w:w="4950"/>
        <w:gridCol w:w="4230"/>
      </w:tblGrid>
      <w:tr w:rsidR="00AB6516" w:rsidTr="00130B34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Rogene Worley Middle School                                      Weekly Lesson Plan                                                 2015-16 School Year</w:t>
            </w:r>
          </w:p>
        </w:tc>
      </w:tr>
      <w:tr w:rsidR="00AB6516" w:rsidTr="00130B34">
        <w:trPr>
          <w:cantSplit/>
          <w:trHeight w:val="633"/>
        </w:trPr>
        <w:tc>
          <w:tcPr>
            <w:tcW w:w="1477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B6516" w:rsidRDefault="00AB6516" w:rsidP="00AB65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Department</w:t>
            </w:r>
            <w:r w:rsidR="00E77C72">
              <w:rPr>
                <w:b/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</w:rPr>
              <w:t xml:space="preserve">Science         </w:t>
            </w:r>
            <w:r w:rsidR="00E77C72">
              <w:rPr>
                <w:b/>
                <w:sz w:val="26"/>
                <w:szCs w:val="26"/>
              </w:rPr>
              <w:t xml:space="preserve">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E77C72">
              <w:rPr>
                <w:b/>
                <w:sz w:val="26"/>
                <w:szCs w:val="26"/>
              </w:rPr>
              <w:t xml:space="preserve">Grade Level: </w:t>
            </w:r>
            <w:r>
              <w:rPr>
                <w:b/>
                <w:sz w:val="26"/>
                <w:szCs w:val="26"/>
              </w:rPr>
              <w:t xml:space="preserve">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1st         </w:t>
            </w:r>
            <w:r w:rsidR="00E77C72">
              <w:rPr>
                <w:b/>
                <w:sz w:val="26"/>
                <w:szCs w:val="26"/>
              </w:rPr>
              <w:t xml:space="preserve">         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</w:t>
            </w:r>
            <w:r w:rsidR="00E77C72">
              <w:rPr>
                <w:b/>
                <w:sz w:val="26"/>
                <w:szCs w:val="26"/>
              </w:rPr>
              <w:t xml:space="preserve"> </w:t>
            </w:r>
            <w:r w:rsidR="00BB24AB">
              <w:rPr>
                <w:b/>
                <w:sz w:val="26"/>
                <w:szCs w:val="26"/>
              </w:rPr>
              <w:t>4                    Dates: 9/14</w:t>
            </w:r>
            <w:r w:rsidR="008F5CBB">
              <w:rPr>
                <w:b/>
                <w:sz w:val="26"/>
                <w:szCs w:val="26"/>
              </w:rPr>
              <w:t>/15-9/1</w:t>
            </w:r>
            <w:r w:rsidR="00BB24AB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/15</w:t>
            </w:r>
          </w:p>
          <w:p w:rsidR="00AB6516" w:rsidRPr="00627418" w:rsidRDefault="00AB6516" w:rsidP="00AB651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tr w:rsidR="009F63C7" w:rsidTr="00AB6516">
        <w:trPr>
          <w:cantSplit/>
          <w:trHeight w:val="351"/>
        </w:trPr>
        <w:tc>
          <w:tcPr>
            <w:tcW w:w="1368" w:type="dxa"/>
            <w:shd w:val="clear" w:color="auto" w:fill="FFC000"/>
            <w:vAlign w:val="center"/>
          </w:tcPr>
          <w:p w:rsidR="009F63C7" w:rsidRPr="005C4736" w:rsidRDefault="009F63C7" w:rsidP="009F63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950" w:type="dxa"/>
            <w:shd w:val="clear" w:color="auto" w:fill="FFC000"/>
          </w:tcPr>
          <w:p w:rsidR="009F63C7" w:rsidRPr="005C4736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230" w:type="dxa"/>
            <w:shd w:val="clear" w:color="auto" w:fill="FFC000"/>
          </w:tcPr>
          <w:p w:rsidR="009F63C7" w:rsidRDefault="009F63C7" w:rsidP="009F63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</w:tr>
      <w:tr w:rsidR="008843A6" w:rsidTr="00AB6516">
        <w:trPr>
          <w:cantSplit/>
          <w:trHeight w:val="59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TEKS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30" w:type="dxa"/>
          </w:tcPr>
          <w:p w:rsidR="008843A6" w:rsidRPr="008843A6" w:rsidRDefault="00BB24AB" w:rsidP="008F5CBB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</w:t>
            </w:r>
            <w:r w:rsidRPr="00AB6516">
              <w:rPr>
                <w:rFonts w:ascii="Arial Narrow" w:hAnsi="Arial Narrow"/>
                <w:sz w:val="20"/>
                <w:szCs w:val="20"/>
              </w:rPr>
              <w:t>(A) describe the structure of atoms, including the masses, electrical charges, and locations, of protons and neutrons in the nucleus and electrons in the electron cloud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/>
                <w:sz w:val="20"/>
                <w:szCs w:val="20"/>
              </w:rPr>
              <w:t>8.5(B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  <w:tc>
          <w:tcPr>
            <w:tcW w:w="4950" w:type="dxa"/>
          </w:tcPr>
          <w:p w:rsidR="008843A6" w:rsidRPr="00AB6516" w:rsidRDefault="00BB24AB" w:rsidP="00AB6516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</w:t>
            </w:r>
            <w:r w:rsidRPr="00AB6516">
              <w:rPr>
                <w:rFonts w:ascii="Arial Narrow" w:hAnsi="Arial Narrow"/>
                <w:sz w:val="20"/>
                <w:szCs w:val="20"/>
              </w:rPr>
              <w:t>(A) describe the structure of atoms, including the masses, electrical charges, and locations, of protons and neutrons in the nucleus and electrons in the electron cloud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8.5(B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  <w:tc>
          <w:tcPr>
            <w:tcW w:w="4230" w:type="dxa"/>
          </w:tcPr>
          <w:p w:rsidR="008843A6" w:rsidRPr="00AB6516" w:rsidRDefault="00BB24AB" w:rsidP="00AB6516">
            <w:pPr>
              <w:pStyle w:val="NoSpacing"/>
              <w:rPr>
                <w:b/>
                <w:sz w:val="20"/>
                <w:szCs w:val="20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</w:t>
            </w:r>
            <w:r w:rsidRPr="00AB6516">
              <w:rPr>
                <w:rFonts w:ascii="Arial Narrow" w:hAnsi="Arial Narrow"/>
                <w:sz w:val="20"/>
                <w:szCs w:val="20"/>
              </w:rPr>
              <w:t>(A) describe the structure of atoms, including the masses, electrical charges, and locations, of protons and neutrons in the nucleus and electrons in the electron cloud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8.5(B</w:t>
            </w:r>
            <w:r w:rsidRPr="00AB6516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</w:tr>
      <w:tr w:rsidR="008843A6" w:rsidTr="00AB6516">
        <w:trPr>
          <w:cantSplit/>
          <w:trHeight w:val="592"/>
        </w:trPr>
        <w:tc>
          <w:tcPr>
            <w:tcW w:w="1368" w:type="dxa"/>
            <w:vMerge/>
            <w:shd w:val="clear" w:color="auto" w:fill="FFC000"/>
            <w:vAlign w:val="center"/>
          </w:tcPr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95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230" w:type="dxa"/>
          </w:tcPr>
          <w:p w:rsidR="008843A6" w:rsidRPr="008843A6" w:rsidRDefault="008843A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</w:tr>
      <w:tr w:rsidR="008843A6" w:rsidTr="00AB6516">
        <w:trPr>
          <w:cantSplit/>
          <w:trHeight w:val="533"/>
        </w:trPr>
        <w:tc>
          <w:tcPr>
            <w:tcW w:w="1368" w:type="dxa"/>
            <w:shd w:val="clear" w:color="auto" w:fill="FFC000"/>
            <w:vAlign w:val="center"/>
          </w:tcPr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(WE will learn)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Default="008843A6" w:rsidP="008843A6">
            <w:pPr>
              <w:rPr>
                <w:sz w:val="16"/>
                <w:szCs w:val="16"/>
              </w:rPr>
            </w:pPr>
          </w:p>
          <w:p w:rsidR="008843A6" w:rsidRPr="00677962" w:rsidRDefault="00BB24AB" w:rsidP="00884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 review atomic structure.</w:t>
            </w:r>
          </w:p>
        </w:tc>
        <w:tc>
          <w:tcPr>
            <w:tcW w:w="4950" w:type="dxa"/>
          </w:tcPr>
          <w:p w:rsidR="008843A6" w:rsidRDefault="00082CE7" w:rsidP="00082C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Pre-AP</w:t>
            </w:r>
            <w:r w:rsidR="00AB6516" w:rsidRPr="008A4699">
              <w:rPr>
                <w:rFonts w:ascii="Arial Narrow" w:hAnsi="Arial Narrow"/>
                <w:sz w:val="20"/>
                <w:szCs w:val="20"/>
              </w:rPr>
              <w:t xml:space="preserve"> will </w:t>
            </w:r>
            <w:r>
              <w:rPr>
                <w:rFonts w:ascii="Arial Narrow" w:hAnsi="Arial Narrow"/>
                <w:sz w:val="20"/>
                <w:szCs w:val="20"/>
              </w:rPr>
              <w:t>test.</w:t>
            </w:r>
          </w:p>
          <w:p w:rsidR="00082CE7" w:rsidRDefault="00082CE7" w:rsidP="00082CE7">
            <w:pPr>
              <w:rPr>
                <w:rFonts w:ascii="Arial Narrow" w:hAnsi="Arial Narrow"/>
                <w:sz w:val="20"/>
                <w:szCs w:val="20"/>
              </w:rPr>
            </w:pPr>
          </w:p>
          <w:p w:rsidR="00082CE7" w:rsidRPr="00393177" w:rsidRDefault="00082CE7" w:rsidP="00082CE7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Regular will review atomic structure.</w:t>
            </w:r>
          </w:p>
        </w:tc>
        <w:tc>
          <w:tcPr>
            <w:tcW w:w="4230" w:type="dxa"/>
          </w:tcPr>
          <w:p w:rsidR="008843A6" w:rsidRDefault="00082CE7" w:rsidP="008843A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Pre-AP will make anchor charts.</w:t>
            </w:r>
          </w:p>
          <w:p w:rsidR="00082CE7" w:rsidRDefault="00082CE7" w:rsidP="008843A6">
            <w:pPr>
              <w:rPr>
                <w:rFonts w:ascii="Arial Narrow" w:hAnsi="Arial Narrow"/>
                <w:sz w:val="20"/>
                <w:szCs w:val="20"/>
              </w:rPr>
            </w:pPr>
          </w:p>
          <w:p w:rsidR="00082CE7" w:rsidRPr="00677962" w:rsidRDefault="00082CE7" w:rsidP="008843A6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Regular will test.</w:t>
            </w:r>
          </w:p>
        </w:tc>
      </w:tr>
      <w:tr w:rsidR="008843A6" w:rsidTr="00AB6516">
        <w:trPr>
          <w:cantSplit/>
          <w:trHeight w:val="785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8843A6" w:rsidRPr="00D32D7E" w:rsidRDefault="008843A6" w:rsidP="008843A6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30" w:type="dxa"/>
          </w:tcPr>
          <w:p w:rsidR="008843A6" w:rsidRPr="00D32D7E" w:rsidRDefault="00082CE7" w:rsidP="008843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complete my review.</w:t>
            </w:r>
          </w:p>
        </w:tc>
        <w:tc>
          <w:tcPr>
            <w:tcW w:w="4950" w:type="dxa"/>
          </w:tcPr>
          <w:p w:rsidR="008843A6" w:rsidRPr="00BE4111" w:rsidRDefault="008843A6" w:rsidP="008F5CB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8843A6" w:rsidRDefault="00082CE7" w:rsidP="00082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Pre-AP: I will make an anchor chart.</w:t>
            </w:r>
          </w:p>
          <w:p w:rsidR="00082CE7" w:rsidRDefault="00082CE7" w:rsidP="00082CE7">
            <w:pPr>
              <w:rPr>
                <w:sz w:val="20"/>
                <w:szCs w:val="20"/>
              </w:rPr>
            </w:pPr>
          </w:p>
          <w:p w:rsidR="00082CE7" w:rsidRDefault="00082CE7" w:rsidP="00082CE7">
            <w:pPr>
              <w:rPr>
                <w:b/>
                <w:sz w:val="20"/>
                <w:szCs w:val="20"/>
              </w:rPr>
            </w:pPr>
          </w:p>
        </w:tc>
      </w:tr>
      <w:tr w:rsidR="009F7DE6" w:rsidTr="00AB6516">
        <w:trPr>
          <w:cantSplit/>
          <w:trHeight w:val="2153"/>
        </w:trPr>
        <w:tc>
          <w:tcPr>
            <w:tcW w:w="1368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30" w:type="dxa"/>
          </w:tcPr>
          <w:p w:rsidR="009F7DE6" w:rsidRPr="001F5E57" w:rsidRDefault="009F7DE6" w:rsidP="008843A6">
            <w:pPr>
              <w:jc w:val="center"/>
              <w:rPr>
                <w:b/>
                <w:sz w:val="20"/>
                <w:szCs w:val="20"/>
              </w:rPr>
            </w:pPr>
          </w:p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  <w:p w:rsidR="00082CE7" w:rsidRPr="00E53424" w:rsidRDefault="00082CE7" w:rsidP="00082CE7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9F7DE6" w:rsidRPr="00082CE7" w:rsidRDefault="00082CE7" w:rsidP="00082CE7">
            <w:pPr>
              <w:pStyle w:val="NoSpacing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Atomic Structure Review</w:t>
            </w:r>
          </w:p>
        </w:tc>
        <w:tc>
          <w:tcPr>
            <w:tcW w:w="4950" w:type="dxa"/>
          </w:tcPr>
          <w:p w:rsidR="009F7DE6" w:rsidRPr="00BE4111" w:rsidRDefault="009F7DE6" w:rsidP="008843A6">
            <w:pPr>
              <w:pStyle w:val="NoSpacing"/>
              <w:rPr>
                <w:sz w:val="20"/>
                <w:szCs w:val="20"/>
              </w:rPr>
            </w:pPr>
          </w:p>
          <w:p w:rsidR="009F7DE6" w:rsidRPr="00E53424" w:rsidRDefault="00E53424" w:rsidP="00082CE7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E53424" w:rsidRPr="00082CE7" w:rsidRDefault="00082CE7" w:rsidP="00082CE7">
            <w:pPr>
              <w:pStyle w:val="NoSpacing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Pre-AP Test</w:t>
            </w:r>
          </w:p>
          <w:p w:rsidR="00082CE7" w:rsidRPr="008F5CBB" w:rsidRDefault="00082CE7" w:rsidP="00082CE7">
            <w:pPr>
              <w:pStyle w:val="NoSpacing"/>
              <w:ind w:left="720"/>
              <w:rPr>
                <w:sz w:val="16"/>
                <w:szCs w:val="16"/>
              </w:rPr>
            </w:pPr>
          </w:p>
          <w:p w:rsidR="008F5CBB" w:rsidRPr="00D531E6" w:rsidRDefault="00082CE7" w:rsidP="00082CE7">
            <w:pPr>
              <w:pStyle w:val="NoSpacing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Regular Review</w:t>
            </w:r>
          </w:p>
        </w:tc>
        <w:tc>
          <w:tcPr>
            <w:tcW w:w="4230" w:type="dxa"/>
          </w:tcPr>
          <w:p w:rsidR="009F7DE6" w:rsidRPr="00BE4111" w:rsidRDefault="009F7DE6" w:rsidP="008843A6">
            <w:pPr>
              <w:jc w:val="center"/>
              <w:rPr>
                <w:b/>
                <w:sz w:val="20"/>
                <w:szCs w:val="20"/>
              </w:rPr>
            </w:pPr>
          </w:p>
          <w:p w:rsidR="009F7DE6" w:rsidRPr="00E53424" w:rsidRDefault="00E53424" w:rsidP="00E5342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E53424" w:rsidRPr="00082CE7" w:rsidRDefault="00082CE7" w:rsidP="00E53424">
            <w:pPr>
              <w:pStyle w:val="ListParagraph"/>
              <w:numPr>
                <w:ilvl w:val="0"/>
                <w:numId w:val="6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Pre-AP: Anchor Charts</w:t>
            </w:r>
          </w:p>
          <w:p w:rsidR="00082CE7" w:rsidRPr="00082CE7" w:rsidRDefault="00082CE7" w:rsidP="00082CE7">
            <w:pPr>
              <w:pStyle w:val="ListParagraph"/>
              <w:rPr>
                <w:sz w:val="16"/>
                <w:szCs w:val="16"/>
              </w:rPr>
            </w:pPr>
          </w:p>
          <w:p w:rsidR="00082CE7" w:rsidRPr="00E53424" w:rsidRDefault="00082CE7" w:rsidP="00082CE7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Regular Test</w:t>
            </w:r>
          </w:p>
        </w:tc>
      </w:tr>
      <w:tr w:rsidR="009F7DE6" w:rsidTr="00AB6516">
        <w:trPr>
          <w:cantSplit/>
          <w:trHeight w:val="623"/>
        </w:trPr>
        <w:tc>
          <w:tcPr>
            <w:tcW w:w="1368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9F7DE6" w:rsidRPr="001F5E57" w:rsidRDefault="009F7DE6" w:rsidP="009F7D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950" w:type="dxa"/>
          </w:tcPr>
          <w:p w:rsidR="009F7DE6" w:rsidRPr="00BE4111" w:rsidRDefault="009F7DE6" w:rsidP="008F5CBB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</w:p>
        </w:tc>
        <w:tc>
          <w:tcPr>
            <w:tcW w:w="4230" w:type="dxa"/>
          </w:tcPr>
          <w:p w:rsidR="009F7DE6" w:rsidRDefault="009F7DE6" w:rsidP="00082C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8F5CBB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843A6" w:rsidTr="00082CE7">
        <w:trPr>
          <w:cantSplit/>
          <w:trHeight w:val="695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  <w:p w:rsidR="008843A6" w:rsidRPr="00E00285" w:rsidRDefault="008843A6" w:rsidP="008843A6">
            <w:pPr>
              <w:rPr>
                <w:b/>
                <w:sz w:val="18"/>
                <w:szCs w:val="18"/>
              </w:rPr>
            </w:pPr>
          </w:p>
        </w:tc>
        <w:tc>
          <w:tcPr>
            <w:tcW w:w="4230" w:type="dxa"/>
          </w:tcPr>
          <w:p w:rsidR="008843A6" w:rsidRPr="003A384B" w:rsidRDefault="008843A6" w:rsidP="003A384B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843A6" w:rsidRPr="00BE4111" w:rsidRDefault="008843A6" w:rsidP="008F5CB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8843A6" w:rsidRPr="003A384B" w:rsidRDefault="00082CE7" w:rsidP="003A384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important about an atom?</w:t>
            </w:r>
          </w:p>
        </w:tc>
      </w:tr>
      <w:tr w:rsidR="008843A6" w:rsidTr="00AB6516">
        <w:trPr>
          <w:cantSplit/>
          <w:trHeight w:val="497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</w:t>
            </w:r>
          </w:p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strategy</w:t>
            </w:r>
          </w:p>
        </w:tc>
        <w:tc>
          <w:tcPr>
            <w:tcW w:w="4230" w:type="dxa"/>
          </w:tcPr>
          <w:p w:rsidR="008843A6" w:rsidRPr="00B7779A" w:rsidRDefault="008843A6" w:rsidP="00E534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:rsidR="008843A6" w:rsidRDefault="00E53424" w:rsidP="008843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Text Annotation</w:t>
            </w:r>
          </w:p>
        </w:tc>
        <w:tc>
          <w:tcPr>
            <w:tcW w:w="4230" w:type="dxa"/>
          </w:tcPr>
          <w:p w:rsidR="008843A6" w:rsidRPr="00B7779A" w:rsidRDefault="00E53424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Collaborative Inquiry Based Learning</w:t>
            </w:r>
          </w:p>
        </w:tc>
      </w:tr>
      <w:tr w:rsidR="008843A6" w:rsidTr="00AB6516">
        <w:trPr>
          <w:cantSplit/>
          <w:trHeight w:val="668"/>
        </w:trPr>
        <w:tc>
          <w:tcPr>
            <w:tcW w:w="1368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30" w:type="dxa"/>
          </w:tcPr>
          <w:p w:rsidR="008843A6" w:rsidRDefault="008843A6" w:rsidP="008843A6">
            <w:pPr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8843A6" w:rsidRDefault="00E53424" w:rsidP="008843A6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Rally Robin</w:t>
            </w:r>
          </w:p>
        </w:tc>
        <w:tc>
          <w:tcPr>
            <w:tcW w:w="4230" w:type="dxa"/>
          </w:tcPr>
          <w:p w:rsidR="008843A6" w:rsidRPr="00B7779A" w:rsidRDefault="00E53424" w:rsidP="008843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Rally Robin</w:t>
            </w:r>
          </w:p>
        </w:tc>
      </w:tr>
    </w:tbl>
    <w:p w:rsidR="005C4736" w:rsidRDefault="00217AAE" w:rsidP="00BE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310" w:rsidRDefault="002F031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pPr w:leftFromText="180" w:rightFromText="180" w:vertAnchor="page" w:horzAnchor="margin" w:tblpX="108" w:tblpY="697"/>
        <w:tblW w:w="14764" w:type="dxa"/>
        <w:tblLayout w:type="fixed"/>
        <w:tblLook w:val="04A0" w:firstRow="1" w:lastRow="0" w:firstColumn="1" w:lastColumn="0" w:noHBand="0" w:noVBand="1"/>
      </w:tblPr>
      <w:tblGrid>
        <w:gridCol w:w="1367"/>
        <w:gridCol w:w="4226"/>
        <w:gridCol w:w="4945"/>
        <w:gridCol w:w="4117"/>
        <w:gridCol w:w="109"/>
      </w:tblGrid>
      <w:tr w:rsidR="00155266" w:rsidTr="00155266">
        <w:trPr>
          <w:gridAfter w:val="1"/>
          <w:wAfter w:w="109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bookmarkStart w:id="0" w:name="_GoBack" w:colFirst="0" w:colLast="0"/>
            <w:r>
              <w:rPr>
                <w:b/>
                <w:sz w:val="26"/>
                <w:szCs w:val="26"/>
              </w:rPr>
              <w:lastRenderedPageBreak/>
              <w:t>Rogene Worley Middle School                                      Weekly Lesson Plan                                                 2015-16 School Year</w:t>
            </w:r>
          </w:p>
        </w:tc>
      </w:tr>
      <w:tr w:rsidR="00155266" w:rsidTr="00155266">
        <w:trPr>
          <w:gridAfter w:val="1"/>
          <w:wAfter w:w="109" w:type="dxa"/>
          <w:cantSplit/>
          <w:trHeight w:val="346"/>
        </w:trPr>
        <w:tc>
          <w:tcPr>
            <w:tcW w:w="14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5266" w:rsidRDefault="00155266" w:rsidP="001552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Department: Science                Grade Level: 8              </w:t>
            </w:r>
            <w:r w:rsidRPr="002458DF">
              <w:rPr>
                <w:b/>
                <w:sz w:val="26"/>
                <w:szCs w:val="26"/>
              </w:rPr>
              <w:t>Six Weeks</w:t>
            </w:r>
            <w:r>
              <w:rPr>
                <w:b/>
                <w:sz w:val="26"/>
                <w:szCs w:val="26"/>
              </w:rPr>
              <w:t xml:space="preserve">: 1st                     </w:t>
            </w:r>
            <w:r w:rsidRPr="002458DF">
              <w:rPr>
                <w:b/>
                <w:sz w:val="26"/>
                <w:szCs w:val="26"/>
              </w:rPr>
              <w:t>Week</w:t>
            </w:r>
            <w:r>
              <w:rPr>
                <w:b/>
                <w:sz w:val="26"/>
                <w:szCs w:val="26"/>
              </w:rPr>
              <w:t>: 4                    Dates: 9/14/15-9/18/15</w:t>
            </w:r>
          </w:p>
          <w:p w:rsidR="00155266" w:rsidRPr="00627418" w:rsidRDefault="00155266" w:rsidP="00155266">
            <w:pPr>
              <w:jc w:val="center"/>
              <w:rPr>
                <w:rFonts w:ascii="Goudy Stout" w:hAnsi="Goudy Stout"/>
                <w:b/>
                <w:sz w:val="40"/>
                <w:szCs w:val="40"/>
              </w:rPr>
            </w:pPr>
            <w:r w:rsidRPr="00627418">
              <w:rPr>
                <w:rFonts w:ascii="Goudy Stout" w:hAnsi="Goudy Stout"/>
                <w:b/>
                <w:sz w:val="40"/>
                <w:szCs w:val="40"/>
              </w:rPr>
              <w:t>100% Every Student Every Day</w:t>
            </w:r>
          </w:p>
        </w:tc>
      </w:tr>
      <w:bookmarkEnd w:id="0"/>
      <w:tr w:rsidR="00B55656" w:rsidTr="00155266">
        <w:trPr>
          <w:cantSplit/>
          <w:trHeight w:val="346"/>
        </w:trPr>
        <w:tc>
          <w:tcPr>
            <w:tcW w:w="1367" w:type="dxa"/>
            <w:shd w:val="clear" w:color="auto" w:fill="FFC000"/>
            <w:vAlign w:val="center"/>
          </w:tcPr>
          <w:p w:rsidR="00B55656" w:rsidRPr="005C4736" w:rsidRDefault="00B55656" w:rsidP="007767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6" w:type="dxa"/>
            <w:shd w:val="clear" w:color="auto" w:fill="FFC000"/>
          </w:tcPr>
          <w:p w:rsidR="00B55656" w:rsidRPr="005C473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945" w:type="dxa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226" w:type="dxa"/>
            <w:gridSpan w:val="2"/>
            <w:shd w:val="clear" w:color="auto" w:fill="FFC000"/>
          </w:tcPr>
          <w:p w:rsidR="00B55656" w:rsidRDefault="00B55656" w:rsidP="0077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9F7DE6" w:rsidTr="00155266">
        <w:trPr>
          <w:cantSplit/>
          <w:trHeight w:val="675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Dual Coding</w:t>
            </w:r>
          </w:p>
        </w:tc>
        <w:tc>
          <w:tcPr>
            <w:tcW w:w="4226" w:type="dxa"/>
          </w:tcPr>
          <w:p w:rsidR="009F7DE6" w:rsidRPr="008843A6" w:rsidRDefault="008F5CBB" w:rsidP="00082CE7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</w:t>
            </w:r>
            <w:r w:rsidR="00082CE7">
              <w:rPr>
                <w:rFonts w:ascii="Arial Narrow" w:hAnsi="Arial Narrow"/>
                <w:sz w:val="20"/>
                <w:szCs w:val="20"/>
              </w:rPr>
              <w:t>(C) interpret the arrangement of the Periodic Table, including groups and periods, to explain how properties are used to classify elements</w:t>
            </w:r>
          </w:p>
        </w:tc>
        <w:tc>
          <w:tcPr>
            <w:tcW w:w="4945" w:type="dxa"/>
          </w:tcPr>
          <w:p w:rsidR="009F7DE6" w:rsidRPr="008843A6" w:rsidRDefault="00082CE7" w:rsidP="00E53424">
            <w:pPr>
              <w:pStyle w:val="NoSpacing"/>
              <w:rPr>
                <w:b/>
                <w:sz w:val="16"/>
                <w:szCs w:val="16"/>
              </w:rPr>
            </w:pPr>
            <w:r w:rsidRPr="00AB6516">
              <w:rPr>
                <w:rFonts w:ascii="Arial Narrow" w:hAnsi="Arial Narrow"/>
                <w:b/>
                <w:sz w:val="20"/>
                <w:szCs w:val="20"/>
              </w:rPr>
              <w:t xml:space="preserve">SE: </w:t>
            </w:r>
            <w:r>
              <w:rPr>
                <w:rFonts w:ascii="Arial Narrow" w:hAnsi="Arial Narrow"/>
                <w:sz w:val="20"/>
                <w:szCs w:val="20"/>
              </w:rPr>
              <w:t>8.5</w:t>
            </w:r>
            <w:r>
              <w:rPr>
                <w:rFonts w:ascii="Arial Narrow" w:hAnsi="Arial Narrow"/>
                <w:sz w:val="20"/>
                <w:szCs w:val="20"/>
              </w:rPr>
              <w:t>(C)</w:t>
            </w:r>
            <w:r>
              <w:rPr>
                <w:rFonts w:ascii="Arial Narrow" w:hAnsi="Arial Narrow"/>
                <w:sz w:val="20"/>
                <w:szCs w:val="20"/>
              </w:rPr>
              <w:t xml:space="preserve"> interpret the arrangement of the Periodic Table, including groups and periods, to explain how properties are used to classify elements</w:t>
            </w:r>
          </w:p>
        </w:tc>
        <w:tc>
          <w:tcPr>
            <w:tcW w:w="4226" w:type="dxa"/>
            <w:gridSpan w:val="2"/>
            <w:vMerge w:val="restart"/>
          </w:tcPr>
          <w:p w:rsidR="009F7DE6" w:rsidRDefault="00082CE7" w:rsidP="008843A6">
            <w:pPr>
              <w:rPr>
                <w:color w:val="FF0000"/>
                <w:sz w:val="20"/>
                <w:szCs w:val="20"/>
              </w:rPr>
            </w:pPr>
            <w:r w:rsidRPr="00082CE7">
              <w:rPr>
                <w:color w:val="FF0000"/>
                <w:sz w:val="20"/>
                <w:szCs w:val="20"/>
              </w:rPr>
              <w:t>1</w:t>
            </w:r>
            <w:r w:rsidRPr="00082CE7">
              <w:rPr>
                <w:color w:val="FF0000"/>
                <w:sz w:val="20"/>
                <w:szCs w:val="20"/>
                <w:vertAlign w:val="superscript"/>
              </w:rPr>
              <w:t>st</w:t>
            </w:r>
            <w:r w:rsidRPr="00082CE7">
              <w:rPr>
                <w:color w:val="FF0000"/>
                <w:sz w:val="20"/>
                <w:szCs w:val="20"/>
              </w:rPr>
              <w:t xml:space="preserve"> Six weeks Vocab Quiz – Wednesday </w:t>
            </w:r>
            <w:r>
              <w:rPr>
                <w:color w:val="FF0000"/>
                <w:sz w:val="20"/>
                <w:szCs w:val="20"/>
              </w:rPr>
              <w:t>9/</w:t>
            </w:r>
            <w:r w:rsidRPr="00082CE7">
              <w:rPr>
                <w:color w:val="FF0000"/>
                <w:sz w:val="20"/>
                <w:szCs w:val="20"/>
              </w:rPr>
              <w:t>23</w:t>
            </w:r>
          </w:p>
          <w:p w:rsidR="00082CE7" w:rsidRDefault="00082CE7" w:rsidP="008843A6">
            <w:pPr>
              <w:rPr>
                <w:color w:val="FF0000"/>
                <w:sz w:val="20"/>
                <w:szCs w:val="20"/>
              </w:rPr>
            </w:pPr>
          </w:p>
          <w:p w:rsidR="00082CE7" w:rsidRPr="00E00285" w:rsidRDefault="00082CE7" w:rsidP="008843A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8.5C Student Journal Parts I-IV due Thursday 9/24</w:t>
            </w:r>
          </w:p>
        </w:tc>
      </w:tr>
      <w:tr w:rsidR="009F7DE6" w:rsidTr="00155266">
        <w:trPr>
          <w:cantSplit/>
          <w:trHeight w:val="452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  <w:r w:rsidR="00E53424">
              <w:rPr>
                <w:b/>
                <w:sz w:val="16"/>
                <w:szCs w:val="16"/>
              </w:rPr>
              <w:t xml:space="preserve"> 8.3(B)</w:t>
            </w:r>
          </w:p>
        </w:tc>
        <w:tc>
          <w:tcPr>
            <w:tcW w:w="4945" w:type="dxa"/>
          </w:tcPr>
          <w:p w:rsidR="009F7DE6" w:rsidRPr="008843A6" w:rsidRDefault="009F7DE6" w:rsidP="008843A6">
            <w:pPr>
              <w:pStyle w:val="NoSpacing"/>
              <w:rPr>
                <w:b/>
                <w:sz w:val="16"/>
                <w:szCs w:val="16"/>
              </w:rPr>
            </w:pPr>
            <w:r w:rsidRPr="008843A6">
              <w:rPr>
                <w:b/>
                <w:sz w:val="16"/>
                <w:szCs w:val="16"/>
              </w:rPr>
              <w:t>Process Standard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155266">
        <w:trPr>
          <w:cantSplit/>
          <w:trHeight w:val="587"/>
        </w:trPr>
        <w:tc>
          <w:tcPr>
            <w:tcW w:w="1367" w:type="dxa"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Lesson</w:t>
            </w:r>
          </w:p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Objective</w:t>
            </w:r>
          </w:p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(WE will)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Pr="00DE1571" w:rsidRDefault="00AB6516" w:rsidP="008843A6">
            <w:pPr>
              <w:rPr>
                <w:sz w:val="16"/>
                <w:szCs w:val="16"/>
              </w:rPr>
            </w:pPr>
            <w:r w:rsidRPr="008A4699">
              <w:rPr>
                <w:rFonts w:ascii="Arial Narrow" w:hAnsi="Arial Narrow"/>
                <w:sz w:val="20"/>
                <w:szCs w:val="20"/>
              </w:rPr>
              <w:t>We will learn</w:t>
            </w:r>
            <w:r w:rsidR="008F5C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5CBB"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  <w:tc>
          <w:tcPr>
            <w:tcW w:w="4945" w:type="dxa"/>
          </w:tcPr>
          <w:p w:rsidR="009F7DE6" w:rsidRPr="00D531E6" w:rsidRDefault="00AB6516" w:rsidP="008843A6">
            <w:pPr>
              <w:rPr>
                <w:i/>
                <w:sz w:val="16"/>
                <w:szCs w:val="16"/>
              </w:rPr>
            </w:pPr>
            <w:r w:rsidRPr="008A4699">
              <w:rPr>
                <w:rFonts w:ascii="Arial Narrow" w:hAnsi="Arial Narrow"/>
                <w:sz w:val="20"/>
                <w:szCs w:val="20"/>
              </w:rPr>
              <w:t>We will learn to</w:t>
            </w:r>
            <w:r w:rsidR="008F5CB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5CBB">
              <w:rPr>
                <w:rFonts w:ascii="Arial Narrow" w:hAnsi="Arial Narrow"/>
                <w:sz w:val="20"/>
                <w:szCs w:val="20"/>
              </w:rPr>
              <w:t>identify that protons determine an element’s identity and valence electrons determine its chemical properties, including reactivity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155266">
        <w:trPr>
          <w:cantSplit/>
          <w:trHeight w:val="902"/>
        </w:trPr>
        <w:tc>
          <w:tcPr>
            <w:tcW w:w="1367" w:type="dxa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will statement</w:t>
            </w:r>
          </w:p>
          <w:p w:rsidR="009F7DE6" w:rsidRPr="00E53424" w:rsidRDefault="009F7DE6" w:rsidP="00E53424">
            <w:pPr>
              <w:jc w:val="center"/>
              <w:rPr>
                <w:b/>
                <w:sz w:val="16"/>
                <w:szCs w:val="16"/>
              </w:rPr>
            </w:pPr>
            <w:r w:rsidRPr="00D32D7E">
              <w:rPr>
                <w:b/>
                <w:sz w:val="16"/>
                <w:szCs w:val="16"/>
              </w:rPr>
              <w:t>(Demonstration of learning)</w:t>
            </w:r>
          </w:p>
        </w:tc>
        <w:tc>
          <w:tcPr>
            <w:tcW w:w="4226" w:type="dxa"/>
          </w:tcPr>
          <w:p w:rsidR="00AB6516" w:rsidRDefault="00AB6516" w:rsidP="00AB6516">
            <w:pPr>
              <w:rPr>
                <w:b/>
                <w:sz w:val="16"/>
                <w:szCs w:val="16"/>
              </w:rPr>
            </w:pPr>
            <w:r w:rsidRPr="00D32D7E">
              <w:rPr>
                <w:sz w:val="20"/>
                <w:szCs w:val="20"/>
              </w:rPr>
              <w:t>I will</w:t>
            </w:r>
            <w:r>
              <w:rPr>
                <w:sz w:val="20"/>
                <w:szCs w:val="20"/>
              </w:rPr>
              <w:t xml:space="preserve"> </w:t>
            </w:r>
            <w:r w:rsidR="00082CE7">
              <w:rPr>
                <w:sz w:val="20"/>
                <w:szCs w:val="20"/>
              </w:rPr>
              <w:t>draw Bohr Models on the periodic</w:t>
            </w:r>
            <w:r w:rsidR="008F5CBB">
              <w:rPr>
                <w:sz w:val="20"/>
                <w:szCs w:val="20"/>
              </w:rPr>
              <w:t xml:space="preserve"> table</w:t>
            </w:r>
            <w:r w:rsidR="00E53424">
              <w:rPr>
                <w:sz w:val="20"/>
                <w:szCs w:val="20"/>
              </w:rPr>
              <w:t>.</w:t>
            </w:r>
          </w:p>
          <w:p w:rsidR="009F7DE6" w:rsidRPr="00AC597F" w:rsidRDefault="009F7DE6" w:rsidP="00E53424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AB6516" w:rsidRDefault="00AB6516" w:rsidP="00AB6516">
            <w:pPr>
              <w:rPr>
                <w:b/>
                <w:sz w:val="16"/>
                <w:szCs w:val="16"/>
              </w:rPr>
            </w:pPr>
          </w:p>
          <w:p w:rsidR="009F7DE6" w:rsidRDefault="00082CE7" w:rsidP="008843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will make electron dot diagrams.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155266">
        <w:trPr>
          <w:cantSplit/>
          <w:trHeight w:val="1268"/>
        </w:trPr>
        <w:tc>
          <w:tcPr>
            <w:tcW w:w="1367" w:type="dxa"/>
            <w:vMerge w:val="restart"/>
            <w:shd w:val="clear" w:color="auto" w:fill="FFC000"/>
            <w:vAlign w:val="center"/>
          </w:tcPr>
          <w:p w:rsidR="009F7DE6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 w:rsidRPr="00E00285">
              <w:rPr>
                <w:b/>
                <w:sz w:val="18"/>
                <w:szCs w:val="18"/>
              </w:rPr>
              <w:t>Purposeful Instruction</w:t>
            </w:r>
            <w:r>
              <w:rPr>
                <w:b/>
                <w:sz w:val="18"/>
                <w:szCs w:val="18"/>
              </w:rPr>
              <w:t xml:space="preserve">al </w:t>
            </w:r>
          </w:p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Agenda</w:t>
            </w:r>
          </w:p>
        </w:tc>
        <w:tc>
          <w:tcPr>
            <w:tcW w:w="4226" w:type="dxa"/>
          </w:tcPr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Pr="00E53424" w:rsidRDefault="00E53424" w:rsidP="00E5342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9F7DE6" w:rsidRPr="00E53424" w:rsidRDefault="008F5CBB" w:rsidP="00E5342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STEMScopes 8.5</w:t>
            </w:r>
            <w:r w:rsidR="00082CE7">
              <w:rPr>
                <w:sz w:val="24"/>
                <w:szCs w:val="24"/>
              </w:rPr>
              <w:t>C</w:t>
            </w:r>
            <w:r w:rsidR="00E53424" w:rsidRPr="00E53424">
              <w:rPr>
                <w:sz w:val="24"/>
                <w:szCs w:val="24"/>
              </w:rPr>
              <w:t xml:space="preserve"> Student G</w:t>
            </w:r>
            <w:r w:rsidR="00082CE7">
              <w:rPr>
                <w:sz w:val="24"/>
                <w:szCs w:val="24"/>
              </w:rPr>
              <w:t>uide and Student Journal Part I</w:t>
            </w: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  <w:p w:rsidR="009F7DE6" w:rsidRPr="00AC597F" w:rsidRDefault="009F7DE6" w:rsidP="008843A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F5CBB" w:rsidRDefault="008F5CBB" w:rsidP="008F5CBB">
            <w:pPr>
              <w:pStyle w:val="ListParagraph"/>
              <w:rPr>
                <w:sz w:val="24"/>
                <w:szCs w:val="24"/>
              </w:rPr>
            </w:pPr>
          </w:p>
          <w:p w:rsidR="008F5CBB" w:rsidRPr="00E53424" w:rsidRDefault="008F5CBB" w:rsidP="00082CE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53424">
              <w:rPr>
                <w:sz w:val="24"/>
                <w:szCs w:val="24"/>
              </w:rPr>
              <w:t>Warm up</w:t>
            </w:r>
          </w:p>
          <w:p w:rsidR="00082CE7" w:rsidRPr="00E53424" w:rsidRDefault="00082CE7" w:rsidP="00082CE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STEMScopes 8.5C</w:t>
            </w:r>
            <w:r w:rsidRPr="00E53424">
              <w:rPr>
                <w:sz w:val="24"/>
                <w:szCs w:val="24"/>
              </w:rPr>
              <w:t xml:space="preserve"> Student G</w:t>
            </w:r>
            <w:r>
              <w:rPr>
                <w:sz w:val="24"/>
                <w:szCs w:val="24"/>
              </w:rPr>
              <w:t>uide and Student Journal Part I</w:t>
            </w:r>
            <w:r>
              <w:rPr>
                <w:sz w:val="24"/>
                <w:szCs w:val="24"/>
              </w:rPr>
              <w:t>I</w:t>
            </w:r>
          </w:p>
          <w:p w:rsidR="008F5CBB" w:rsidRPr="00AB3DFA" w:rsidRDefault="008F5CBB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9F7DE6" w:rsidTr="00155266">
        <w:trPr>
          <w:cantSplit/>
          <w:trHeight w:val="515"/>
        </w:trPr>
        <w:tc>
          <w:tcPr>
            <w:tcW w:w="1367" w:type="dxa"/>
            <w:vMerge/>
            <w:shd w:val="clear" w:color="auto" w:fill="FFC000"/>
            <w:vAlign w:val="center"/>
          </w:tcPr>
          <w:p w:rsidR="009F7DE6" w:rsidRPr="00E00285" w:rsidRDefault="009F7DE6" w:rsidP="008843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6" w:type="dxa"/>
          </w:tcPr>
          <w:p w:rsidR="009F7DE6" w:rsidRDefault="009F7DE6" w:rsidP="00082CE7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E53424">
              <w:rPr>
                <w:b/>
                <w:sz w:val="20"/>
                <w:szCs w:val="20"/>
              </w:rPr>
              <w:t xml:space="preserve"> Complete questions for Part I.</w:t>
            </w:r>
            <w:r w:rsidR="003A384B">
              <w:rPr>
                <w:b/>
                <w:sz w:val="20"/>
                <w:szCs w:val="20"/>
              </w:rPr>
              <w:t xml:space="preserve"> 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 xml:space="preserve">(Due </w:t>
            </w:r>
            <w:r w:rsidR="00082CE7">
              <w:rPr>
                <w:b/>
                <w:color w:val="FF0000"/>
                <w:sz w:val="20"/>
                <w:szCs w:val="20"/>
              </w:rPr>
              <w:t>Thursday 9/24</w:t>
            </w:r>
            <w:r w:rsidR="003A384B" w:rsidRPr="003A384B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945" w:type="dxa"/>
          </w:tcPr>
          <w:p w:rsidR="009F7DE6" w:rsidRDefault="009F7DE6" w:rsidP="008F5CB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Homework:</w:t>
            </w:r>
            <w:r w:rsidR="003A384B">
              <w:rPr>
                <w:b/>
                <w:sz w:val="20"/>
                <w:szCs w:val="20"/>
              </w:rPr>
              <w:t xml:space="preserve"> </w:t>
            </w:r>
            <w:r w:rsidR="00082CE7">
              <w:rPr>
                <w:b/>
                <w:sz w:val="20"/>
                <w:szCs w:val="20"/>
              </w:rPr>
              <w:t xml:space="preserve"> </w:t>
            </w:r>
            <w:r w:rsidR="00082CE7">
              <w:rPr>
                <w:b/>
                <w:sz w:val="20"/>
                <w:szCs w:val="20"/>
              </w:rPr>
              <w:t>Complete questions for Part I</w:t>
            </w:r>
            <w:r w:rsidR="00082CE7">
              <w:rPr>
                <w:b/>
                <w:sz w:val="20"/>
                <w:szCs w:val="20"/>
              </w:rPr>
              <w:t>I</w:t>
            </w:r>
            <w:r w:rsidR="00082CE7">
              <w:rPr>
                <w:b/>
                <w:sz w:val="20"/>
                <w:szCs w:val="20"/>
              </w:rPr>
              <w:t xml:space="preserve">. </w:t>
            </w:r>
            <w:r w:rsidR="00082CE7" w:rsidRPr="003A384B">
              <w:rPr>
                <w:b/>
                <w:color w:val="FF0000"/>
                <w:sz w:val="20"/>
                <w:szCs w:val="20"/>
              </w:rPr>
              <w:t xml:space="preserve">(Due </w:t>
            </w:r>
            <w:r w:rsidR="00082CE7">
              <w:rPr>
                <w:b/>
                <w:color w:val="FF0000"/>
                <w:sz w:val="20"/>
                <w:szCs w:val="20"/>
              </w:rPr>
              <w:t>Thurs</w:t>
            </w:r>
            <w:r w:rsidR="00082CE7">
              <w:rPr>
                <w:b/>
                <w:color w:val="FF0000"/>
                <w:sz w:val="20"/>
                <w:szCs w:val="20"/>
              </w:rPr>
              <w:t>day 9/24</w:t>
            </w:r>
            <w:r w:rsidR="00082CE7" w:rsidRPr="003A384B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26" w:type="dxa"/>
            <w:gridSpan w:val="2"/>
            <w:vMerge/>
          </w:tcPr>
          <w:p w:rsidR="009F7DE6" w:rsidRPr="00E00285" w:rsidRDefault="009F7DE6" w:rsidP="008843A6">
            <w:pPr>
              <w:rPr>
                <w:sz w:val="20"/>
                <w:szCs w:val="20"/>
              </w:rPr>
            </w:pPr>
          </w:p>
        </w:tc>
      </w:tr>
      <w:tr w:rsidR="008843A6" w:rsidTr="00155266">
        <w:trPr>
          <w:cantSplit/>
          <w:trHeight w:val="53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Seed Question</w:t>
            </w:r>
          </w:p>
          <w:p w:rsidR="008843A6" w:rsidRPr="00E00285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FSGPT</w:t>
            </w:r>
          </w:p>
        </w:tc>
        <w:tc>
          <w:tcPr>
            <w:tcW w:w="4226" w:type="dxa"/>
          </w:tcPr>
          <w:p w:rsidR="008843A6" w:rsidRPr="00AC597F" w:rsidRDefault="008F5CBB" w:rsidP="003A384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How to determine valence electrons?</w:t>
            </w:r>
          </w:p>
        </w:tc>
        <w:tc>
          <w:tcPr>
            <w:tcW w:w="4945" w:type="dxa"/>
          </w:tcPr>
          <w:p w:rsidR="008843A6" w:rsidRPr="003A384B" w:rsidRDefault="00082CE7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are electron dot diagrams?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  <w:tr w:rsidR="008843A6" w:rsidTr="00155266">
        <w:trPr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Avid Strategy</w:t>
            </w:r>
          </w:p>
        </w:tc>
        <w:tc>
          <w:tcPr>
            <w:tcW w:w="4226" w:type="dxa"/>
          </w:tcPr>
          <w:p w:rsidR="008843A6" w:rsidRPr="00AC597F" w:rsidRDefault="003A384B" w:rsidP="008843A6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Collaborative Learning</w:t>
            </w:r>
          </w:p>
        </w:tc>
        <w:tc>
          <w:tcPr>
            <w:tcW w:w="4945" w:type="dxa"/>
          </w:tcPr>
          <w:p w:rsidR="008843A6" w:rsidRPr="003A384B" w:rsidRDefault="00E53424" w:rsidP="008843A6">
            <w:pPr>
              <w:rPr>
                <w:b/>
                <w:sz w:val="16"/>
                <w:szCs w:val="16"/>
              </w:rPr>
            </w:pPr>
            <w:r w:rsidRPr="003A384B">
              <w:rPr>
                <w:b/>
                <w:sz w:val="16"/>
                <w:szCs w:val="16"/>
              </w:rPr>
              <w:t>Cornell Notes</w:t>
            </w: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  <w:tr w:rsidR="008843A6" w:rsidTr="00155266">
        <w:trPr>
          <w:cantSplit/>
          <w:trHeight w:val="623"/>
        </w:trPr>
        <w:tc>
          <w:tcPr>
            <w:tcW w:w="1367" w:type="dxa"/>
            <w:shd w:val="clear" w:color="auto" w:fill="FFC000"/>
            <w:vAlign w:val="center"/>
          </w:tcPr>
          <w:p w:rsidR="008843A6" w:rsidRDefault="008843A6" w:rsidP="008843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Kagan Strategy</w:t>
            </w:r>
          </w:p>
        </w:tc>
        <w:tc>
          <w:tcPr>
            <w:tcW w:w="4226" w:type="dxa"/>
          </w:tcPr>
          <w:p w:rsidR="008843A6" w:rsidRPr="00AC597F" w:rsidRDefault="008843A6" w:rsidP="008843A6">
            <w:pPr>
              <w:rPr>
                <w:b/>
                <w:sz w:val="16"/>
                <w:szCs w:val="16"/>
              </w:rPr>
            </w:pPr>
          </w:p>
        </w:tc>
        <w:tc>
          <w:tcPr>
            <w:tcW w:w="4945" w:type="dxa"/>
          </w:tcPr>
          <w:p w:rsidR="008843A6" w:rsidRDefault="008843A6" w:rsidP="008843A6">
            <w:pPr>
              <w:rPr>
                <w:sz w:val="16"/>
                <w:szCs w:val="16"/>
              </w:rPr>
            </w:pPr>
          </w:p>
        </w:tc>
        <w:tc>
          <w:tcPr>
            <w:tcW w:w="4226" w:type="dxa"/>
            <w:gridSpan w:val="2"/>
          </w:tcPr>
          <w:p w:rsidR="008843A6" w:rsidRPr="00E00285" w:rsidRDefault="008843A6" w:rsidP="008843A6">
            <w:pPr>
              <w:rPr>
                <w:sz w:val="20"/>
                <w:szCs w:val="20"/>
              </w:rPr>
            </w:pPr>
          </w:p>
        </w:tc>
      </w:tr>
    </w:tbl>
    <w:p w:rsidR="002F0310" w:rsidRPr="002F0310" w:rsidRDefault="002F0310" w:rsidP="00E53424">
      <w:pPr>
        <w:spacing w:after="0" w:line="240" w:lineRule="auto"/>
        <w:rPr>
          <w:sz w:val="24"/>
          <w:szCs w:val="24"/>
        </w:rPr>
      </w:pPr>
    </w:p>
    <w:sectPr w:rsidR="002F0310" w:rsidRPr="002F0310" w:rsidSect="00A90844">
      <w:pgSz w:w="15840" w:h="12240" w:orient="landscape"/>
      <w:pgMar w:top="432" w:right="720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D57" w:rsidRDefault="00881D57" w:rsidP="00E00285">
      <w:pPr>
        <w:spacing w:after="0" w:line="240" w:lineRule="auto"/>
      </w:pPr>
      <w:r>
        <w:separator/>
      </w:r>
    </w:p>
  </w:endnote>
  <w:endnote w:type="continuationSeparator" w:id="0">
    <w:p w:rsidR="00881D57" w:rsidRDefault="00881D57" w:rsidP="00E0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D57" w:rsidRDefault="00881D57" w:rsidP="00E00285">
      <w:pPr>
        <w:spacing w:after="0" w:line="240" w:lineRule="auto"/>
      </w:pPr>
      <w:r>
        <w:separator/>
      </w:r>
    </w:p>
  </w:footnote>
  <w:footnote w:type="continuationSeparator" w:id="0">
    <w:p w:rsidR="00881D57" w:rsidRDefault="00881D57" w:rsidP="00E0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1950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7CF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6551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4CA8"/>
    <w:multiLevelType w:val="hybridMultilevel"/>
    <w:tmpl w:val="57FCE1FC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7C8"/>
    <w:multiLevelType w:val="hybridMultilevel"/>
    <w:tmpl w:val="4C7E109E"/>
    <w:lvl w:ilvl="0" w:tplc="1FC410D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27B38"/>
    <w:multiLevelType w:val="hybridMultilevel"/>
    <w:tmpl w:val="18943458"/>
    <w:lvl w:ilvl="0" w:tplc="CF5C7F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94E9E"/>
    <w:multiLevelType w:val="hybridMultilevel"/>
    <w:tmpl w:val="7E286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573B1"/>
    <w:multiLevelType w:val="hybridMultilevel"/>
    <w:tmpl w:val="2280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D0AA1"/>
    <w:multiLevelType w:val="hybridMultilevel"/>
    <w:tmpl w:val="F3F22974"/>
    <w:lvl w:ilvl="0" w:tplc="F68281D2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15E9"/>
    <w:multiLevelType w:val="hybridMultilevel"/>
    <w:tmpl w:val="5C92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F4D73"/>
    <w:multiLevelType w:val="hybridMultilevel"/>
    <w:tmpl w:val="9536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E0"/>
    <w:rsid w:val="000161CC"/>
    <w:rsid w:val="00025A80"/>
    <w:rsid w:val="00082CE7"/>
    <w:rsid w:val="000A1292"/>
    <w:rsid w:val="000D2C56"/>
    <w:rsid w:val="00130B34"/>
    <w:rsid w:val="0013458B"/>
    <w:rsid w:val="00155238"/>
    <w:rsid w:val="00155266"/>
    <w:rsid w:val="00163E15"/>
    <w:rsid w:val="001854CA"/>
    <w:rsid w:val="00185E1A"/>
    <w:rsid w:val="001875F2"/>
    <w:rsid w:val="001950B2"/>
    <w:rsid w:val="001A70C4"/>
    <w:rsid w:val="001A7FE6"/>
    <w:rsid w:val="001C39D2"/>
    <w:rsid w:val="001F48A7"/>
    <w:rsid w:val="001F5E57"/>
    <w:rsid w:val="00217AAE"/>
    <w:rsid w:val="00224CA5"/>
    <w:rsid w:val="002458DF"/>
    <w:rsid w:val="002563C0"/>
    <w:rsid w:val="00271940"/>
    <w:rsid w:val="002947E1"/>
    <w:rsid w:val="002C4051"/>
    <w:rsid w:val="002D16C4"/>
    <w:rsid w:val="002E02EC"/>
    <w:rsid w:val="002F0310"/>
    <w:rsid w:val="002F7A3F"/>
    <w:rsid w:val="00304871"/>
    <w:rsid w:val="0031732D"/>
    <w:rsid w:val="003414B8"/>
    <w:rsid w:val="0035443F"/>
    <w:rsid w:val="00364E99"/>
    <w:rsid w:val="003713D2"/>
    <w:rsid w:val="00376CEB"/>
    <w:rsid w:val="00393177"/>
    <w:rsid w:val="003A384B"/>
    <w:rsid w:val="003B3315"/>
    <w:rsid w:val="004626A1"/>
    <w:rsid w:val="00463E08"/>
    <w:rsid w:val="004A1580"/>
    <w:rsid w:val="004A5207"/>
    <w:rsid w:val="004A7A27"/>
    <w:rsid w:val="004D0015"/>
    <w:rsid w:val="004F743E"/>
    <w:rsid w:val="005363DB"/>
    <w:rsid w:val="00563F55"/>
    <w:rsid w:val="005C4736"/>
    <w:rsid w:val="005D5548"/>
    <w:rsid w:val="00627418"/>
    <w:rsid w:val="00631E40"/>
    <w:rsid w:val="00647706"/>
    <w:rsid w:val="006710B1"/>
    <w:rsid w:val="006716FA"/>
    <w:rsid w:val="00677962"/>
    <w:rsid w:val="006A38F2"/>
    <w:rsid w:val="006E01F2"/>
    <w:rsid w:val="0076239F"/>
    <w:rsid w:val="007767D0"/>
    <w:rsid w:val="008014F4"/>
    <w:rsid w:val="00802A79"/>
    <w:rsid w:val="0080370E"/>
    <w:rsid w:val="0081477C"/>
    <w:rsid w:val="00817AA0"/>
    <w:rsid w:val="008372AF"/>
    <w:rsid w:val="00842902"/>
    <w:rsid w:val="00881D57"/>
    <w:rsid w:val="008843A6"/>
    <w:rsid w:val="0089630E"/>
    <w:rsid w:val="008B3CC8"/>
    <w:rsid w:val="008C6C99"/>
    <w:rsid w:val="008E6E55"/>
    <w:rsid w:val="008F3A88"/>
    <w:rsid w:val="008F5CBB"/>
    <w:rsid w:val="009230D3"/>
    <w:rsid w:val="00957F13"/>
    <w:rsid w:val="0098448C"/>
    <w:rsid w:val="00984641"/>
    <w:rsid w:val="0098755B"/>
    <w:rsid w:val="009D19B6"/>
    <w:rsid w:val="009E78F1"/>
    <w:rsid w:val="009F63C7"/>
    <w:rsid w:val="009F7DE6"/>
    <w:rsid w:val="00A63152"/>
    <w:rsid w:val="00A65192"/>
    <w:rsid w:val="00A83205"/>
    <w:rsid w:val="00A90844"/>
    <w:rsid w:val="00A972AE"/>
    <w:rsid w:val="00AA795D"/>
    <w:rsid w:val="00AB1056"/>
    <w:rsid w:val="00AB3DFA"/>
    <w:rsid w:val="00AB6516"/>
    <w:rsid w:val="00AC597F"/>
    <w:rsid w:val="00AD1B10"/>
    <w:rsid w:val="00B1575A"/>
    <w:rsid w:val="00B26BD5"/>
    <w:rsid w:val="00B55656"/>
    <w:rsid w:val="00B62D63"/>
    <w:rsid w:val="00B7779A"/>
    <w:rsid w:val="00B901DF"/>
    <w:rsid w:val="00B91EB5"/>
    <w:rsid w:val="00BA017F"/>
    <w:rsid w:val="00BA4929"/>
    <w:rsid w:val="00BB24AB"/>
    <w:rsid w:val="00BC1E4A"/>
    <w:rsid w:val="00BC26F0"/>
    <w:rsid w:val="00BE1F8A"/>
    <w:rsid w:val="00BE4111"/>
    <w:rsid w:val="00BF72C5"/>
    <w:rsid w:val="00C15728"/>
    <w:rsid w:val="00C15D95"/>
    <w:rsid w:val="00C1677E"/>
    <w:rsid w:val="00C655B3"/>
    <w:rsid w:val="00C74A54"/>
    <w:rsid w:val="00CA1F50"/>
    <w:rsid w:val="00CA526E"/>
    <w:rsid w:val="00CD1211"/>
    <w:rsid w:val="00CE418E"/>
    <w:rsid w:val="00D32D7E"/>
    <w:rsid w:val="00D5219F"/>
    <w:rsid w:val="00D531E6"/>
    <w:rsid w:val="00D700D6"/>
    <w:rsid w:val="00D857B6"/>
    <w:rsid w:val="00DC4DE0"/>
    <w:rsid w:val="00DD4A34"/>
    <w:rsid w:val="00DE1571"/>
    <w:rsid w:val="00DF033E"/>
    <w:rsid w:val="00DF5C26"/>
    <w:rsid w:val="00E00285"/>
    <w:rsid w:val="00E22210"/>
    <w:rsid w:val="00E34D0A"/>
    <w:rsid w:val="00E43D6D"/>
    <w:rsid w:val="00E53424"/>
    <w:rsid w:val="00E66896"/>
    <w:rsid w:val="00E75247"/>
    <w:rsid w:val="00E77C72"/>
    <w:rsid w:val="00E873E8"/>
    <w:rsid w:val="00E9382F"/>
    <w:rsid w:val="00E975B0"/>
    <w:rsid w:val="00EC44F1"/>
    <w:rsid w:val="00EE5FA6"/>
    <w:rsid w:val="00EF7A12"/>
    <w:rsid w:val="00F14E79"/>
    <w:rsid w:val="00F607DE"/>
    <w:rsid w:val="00F617F1"/>
    <w:rsid w:val="00FA19EF"/>
    <w:rsid w:val="00FB3073"/>
    <w:rsid w:val="00FC700B"/>
    <w:rsid w:val="00FD6678"/>
    <w:rsid w:val="00FF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B76354-BB98-4453-B515-824786D7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285"/>
  </w:style>
  <w:style w:type="paragraph" w:styleId="Footer">
    <w:name w:val="footer"/>
    <w:basedOn w:val="Normal"/>
    <w:link w:val="FooterChar"/>
    <w:uiPriority w:val="99"/>
    <w:unhideWhenUsed/>
    <w:rsid w:val="00E0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285"/>
  </w:style>
  <w:style w:type="paragraph" w:customStyle="1" w:styleId="subparagrapha">
    <w:name w:val="subparagrapha"/>
    <w:basedOn w:val="Normal"/>
    <w:rsid w:val="00984641"/>
    <w:pPr>
      <w:shd w:val="clear" w:color="auto" w:fill="FFFFFF"/>
      <w:spacing w:before="100" w:beforeAutospacing="1" w:after="100" w:afterAutospacing="1" w:line="240" w:lineRule="auto"/>
      <w:ind w:left="144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styleId="NoSpacing">
    <w:name w:val="No Spacing"/>
    <w:uiPriority w:val="1"/>
    <w:qFormat/>
    <w:rsid w:val="00842902"/>
    <w:pPr>
      <w:spacing w:after="0" w:line="240" w:lineRule="auto"/>
    </w:pPr>
  </w:style>
  <w:style w:type="paragraph" w:customStyle="1" w:styleId="paragraph1">
    <w:name w:val="paragraph1"/>
    <w:basedOn w:val="Normal"/>
    <w:rsid w:val="00224CA5"/>
    <w:pPr>
      <w:shd w:val="clear" w:color="auto" w:fill="FFFFFF"/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0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AF74-2163-4C48-A67B-E16CF760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Elaine V</dc:creator>
  <cp:lastModifiedBy>Taylor, Ryan</cp:lastModifiedBy>
  <cp:revision>2</cp:revision>
  <cp:lastPrinted>2014-05-15T14:51:00Z</cp:lastPrinted>
  <dcterms:created xsi:type="dcterms:W3CDTF">2015-09-11T20:38:00Z</dcterms:created>
  <dcterms:modified xsi:type="dcterms:W3CDTF">2015-09-11T20:38:00Z</dcterms:modified>
</cp:coreProperties>
</file>